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3787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3787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3787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3787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в энергетике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C3DC3D" w:rsidR="00A77598" w:rsidRPr="00F10C4A" w:rsidRDefault="00F10C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78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878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FD5327" w:rsidR="004475DA" w:rsidRPr="00F10C4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10C4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8CB08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FC8A86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D6FF93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4FE8D2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A02B723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BB9F1E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38A8F6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BAF03F6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4B7B8B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4A29C7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D1442C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8BDAB4" w:rsidR="00D75436" w:rsidRDefault="009F43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886F88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71BBFE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133370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D253F5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7535D4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A0FB79" w:rsidR="00D75436" w:rsidRDefault="009F43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3787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37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целостное представление о современных концепциях управления предприятиями энергетического сектора в условиях неопределенности и риска, освоить навыки выбора и применения методов оценки и обработки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рисками в энергетике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78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78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78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78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78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78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78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78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78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</w:rPr>
              <w:t>ПК-5 - Способен самостоятельно разрабатывать и обосновывать проектные решения в области энергетики с учетом фактора неопределенности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78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ПК-5.1 - Определяет возможные ситуационные, финансовые и прочие риски и формирование механизмов их устранения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78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7878">
              <w:rPr>
                <w:rFonts w:ascii="Times New Roman" w:hAnsi="Times New Roman" w:cs="Times New Roman"/>
              </w:rPr>
              <w:t>принципы построения систем управления рисками; основные стандарты в области управления рисками; особенности нефтегазовой деятельности и деятельности в сфере торговли углеводородами с точки зрения управления рисками; классификацию методов воздействия на риск, их область применения, достоинства и недостатки</w:t>
            </w:r>
            <w:r w:rsidRPr="00E378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78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7878">
              <w:rPr>
                <w:rFonts w:ascii="Times New Roman" w:hAnsi="Times New Roman" w:cs="Times New Roman"/>
              </w:rPr>
              <w:t>идентифицировать, анализировать и оценивать риски, воздействующие на предприятия в нефтегазовой сфере и в сфере торговли углеводородами; оценивать применимость методов воздействия на риски в соответствии с их особенностями</w:t>
            </w:r>
            <w:r w:rsidRPr="00E378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78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7878">
              <w:rPr>
                <w:rFonts w:ascii="Times New Roman" w:hAnsi="Times New Roman" w:cs="Times New Roman"/>
              </w:rPr>
              <w:t>методами качественной и количественной оценки рисков; навыками выбора мер воздействия на риски</w:t>
            </w:r>
            <w:r w:rsidRPr="00E378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78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378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3787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3787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378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(ак</w:t>
            </w:r>
            <w:r w:rsidR="00AE2B1A" w:rsidRPr="00E37878">
              <w:rPr>
                <w:rFonts w:ascii="Times New Roman" w:hAnsi="Times New Roman" w:cs="Times New Roman"/>
                <w:b/>
              </w:rPr>
              <w:t>адемические</w:t>
            </w:r>
            <w:r w:rsidRPr="00E3787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378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378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378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378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378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378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378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378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378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3787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378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378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рисками. Риски предприятий энергетического сектора.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378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7878">
              <w:rPr>
                <w:sz w:val="22"/>
                <w:szCs w:val="22"/>
                <w:lang w:bidi="ru-RU"/>
              </w:rPr>
              <w:t>Понятие неопределенности и риска. Принципы принятия решений в условиях неопределенности и риска. Особенности деятельности предприятий энергетического сектора и основные источники неопределенности. Общие системы классификации рисков. Специфические риски энергетического сектора.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378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378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1CC16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2D6AE" w14:textId="77777777" w:rsidR="004475DA" w:rsidRPr="00E378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Тема 2. Стандарты управления рисками. Политика управления рисками предприятий энергетического сектора.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2B325" w14:textId="77777777" w:rsidR="004475DA" w:rsidRPr="00E378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7878">
              <w:rPr>
                <w:sz w:val="22"/>
                <w:szCs w:val="22"/>
                <w:lang w:bidi="ru-RU"/>
              </w:rPr>
              <w:t>Концепция риск-менеджмента и ее развитие в историческом аспекте. Эволюция подходов к управлению рисками по стадиям "жизненного цикла" организации. Общая логика построения системы управления рисками организации. Стандарты в области риск-менеджмента. Проблемы экономического обоснования системы риск-менеджмента организации. Выгоды от внедрения системы риск-менеджмента. Основные этапы риск-менеджмента организации. Определение внешнего и внутреннего контекста. Цели и требования к системе управления рисками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F556E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D1F46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590C0" w14:textId="77777777" w:rsidR="004475DA" w:rsidRPr="00E378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F0B2A" w14:textId="77777777" w:rsidR="004475DA" w:rsidRPr="00E378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B1646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53D12" w14:textId="77777777" w:rsidR="004475DA" w:rsidRPr="00E378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Тема 3. Оценка рисков. Идентификация, анализ и количественное оценивание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4960F" w14:textId="77777777" w:rsidR="004475DA" w:rsidRPr="00E378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7878">
              <w:rPr>
                <w:sz w:val="22"/>
                <w:szCs w:val="22"/>
                <w:lang w:bidi="ru-RU"/>
              </w:rPr>
              <w:t>Понятие оценки риска. Идентификация рисков: понятие, общие подходы, внешние и внутренние источники информации для идентификации рисков, их особенности и область применения. Методы идентификации рисков. Особенности идентификации и анализа отдельных категорий рисков предприятий энергетического сектора. Методы количественной и сравнительной оценки рисков. Количественные меры (метрики) риска. Традиционные и современные меры риска, их достоинства и недостатки, область применения. Показатели предельного значения, наиболее вероятного значения, ожидаемого значения, показатели вариабельности. Обобщенные меры риска. Оценка риска по Value-at-Risk (VaR) и Expected Shortfall (ES).</w:t>
            </w:r>
            <w:r w:rsidRPr="00E37878">
              <w:rPr>
                <w:sz w:val="22"/>
                <w:szCs w:val="22"/>
                <w:lang w:bidi="ru-RU"/>
              </w:rPr>
              <w:br/>
              <w:t>Методы количественной оценки рисков: статистические, вероятностно-статистические, теоретико-вероятностные и экспертные методы, их особенности и область применения. Критерии значимости рисков. Концепция приемлемого риска. Картографирование риска как метод представления информации о рисках организации. Рисковый аппетит и толерантность к риску.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D91F7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5ACBD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099D0" w14:textId="77777777" w:rsidR="004475DA" w:rsidRPr="00E378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9A185" w14:textId="77777777" w:rsidR="004475DA" w:rsidRPr="00E378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FBA7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71E5B" w14:textId="77777777" w:rsidR="004475DA" w:rsidRPr="00E378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Тема 4. Методы воздействия на риск. Регулирование и финансирование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47AE0" w14:textId="77777777" w:rsidR="004475DA" w:rsidRPr="00E378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7878">
              <w:rPr>
                <w:sz w:val="22"/>
                <w:szCs w:val="22"/>
                <w:lang w:bidi="ru-RU"/>
              </w:rPr>
              <w:t>Классификация методов воздействия на риск (методов обработки риска)</w:t>
            </w:r>
            <w:proofErr w:type="gramStart"/>
            <w:r w:rsidRPr="00E37878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E37878">
              <w:rPr>
                <w:sz w:val="22"/>
                <w:szCs w:val="22"/>
                <w:lang w:bidi="ru-RU"/>
              </w:rPr>
              <w:t>егулирование риска и финансирование риска. Уклонение, уменьшение, передача и удержание риска.</w:t>
            </w:r>
            <w:r w:rsidRPr="00E37878">
              <w:rPr>
                <w:sz w:val="22"/>
                <w:szCs w:val="22"/>
                <w:lang w:bidi="ru-RU"/>
              </w:rPr>
              <w:br/>
              <w:t>Уклонение от риска. Уменьшение риска: предупреждение риска, уменьшение последствий, сегрегация риска (разделение и дублирование). Особенности регулирования отдельных категорий рисков предприятий энергетического сектора.</w:t>
            </w:r>
            <w:r w:rsidRPr="00E37878">
              <w:rPr>
                <w:sz w:val="22"/>
                <w:szCs w:val="22"/>
                <w:lang w:bidi="ru-RU"/>
              </w:rPr>
              <w:br/>
              <w:t>Достоинства и недостатки удержания и передачи риска.</w:t>
            </w:r>
            <w:r w:rsidRPr="00E37878">
              <w:rPr>
                <w:sz w:val="22"/>
                <w:szCs w:val="22"/>
                <w:lang w:bidi="ru-RU"/>
              </w:rPr>
              <w:br/>
              <w:t>Виды удержания. Проблемы принятия решения об удержании риска. Способы финансирования риска при удержании.</w:t>
            </w:r>
            <w:r w:rsidRPr="00E37878">
              <w:rPr>
                <w:sz w:val="22"/>
                <w:szCs w:val="22"/>
                <w:lang w:bidi="ru-RU"/>
              </w:rPr>
              <w:br/>
              <w:t>Передача риска в целях регулирования и в целях финансирования риска. Передача риска по не страховому договору.</w:t>
            </w:r>
            <w:r w:rsidRPr="00E37878">
              <w:rPr>
                <w:sz w:val="22"/>
                <w:szCs w:val="22"/>
                <w:lang w:bidi="ru-RU"/>
              </w:rPr>
              <w:br/>
              <w:t>Страхование рисков предприятий энергетического сектора.</w:t>
            </w:r>
            <w:r w:rsidRPr="00E37878">
              <w:rPr>
                <w:sz w:val="22"/>
                <w:szCs w:val="22"/>
                <w:lang w:bidi="ru-RU"/>
              </w:rPr>
              <w:br/>
              <w:t>Финансирование рыночных рисков в энергетике и производные финансовые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AB9D7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85E7A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D1B0E" w14:textId="77777777" w:rsidR="004475DA" w:rsidRPr="00E378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3AC6C" w14:textId="77777777" w:rsidR="004475DA" w:rsidRPr="00E378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D0712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61257" w14:textId="77777777" w:rsidR="004475DA" w:rsidRPr="00E378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Тема 5. Организация и оценка системы управления рисками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A430A" w14:textId="77777777" w:rsidR="004475DA" w:rsidRPr="00E378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7878">
              <w:rPr>
                <w:sz w:val="22"/>
                <w:szCs w:val="22"/>
                <w:lang w:bidi="ru-RU"/>
              </w:rPr>
              <w:t>Нормативное регулирование управления рисками на предприятии. Профессиональные стандарты риск-менеджмента. Понятие программы риск-менеджмента предприятия, ее структура и содержание.</w:t>
            </w:r>
            <w:r w:rsidRPr="00E37878">
              <w:rPr>
                <w:sz w:val="22"/>
                <w:szCs w:val="22"/>
                <w:lang w:bidi="ru-RU"/>
              </w:rPr>
              <w:br/>
              <w:t>Лица, ответственные за работу системы управления рисками предприятия. Служба риск-менеджмента предприятия, ее структура и взаимодействие с другими подразделениями. Оценка системы управления рисками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A8949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718744" w14:textId="77777777" w:rsidR="004475DA" w:rsidRPr="00E378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F1C0F" w14:textId="77777777" w:rsidR="004475DA" w:rsidRPr="00E378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45BEB" w14:textId="77777777" w:rsidR="004475DA" w:rsidRPr="00E378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3787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87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3787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87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3787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3787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3787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378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878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378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87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378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378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37878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0"/>
        <w:gridCol w:w="4147"/>
      </w:tblGrid>
      <w:tr w:rsidR="00262CF0" w:rsidRPr="00E3787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3787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787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3787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787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787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78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37878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E37878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E378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E37878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, 2025. — 485 с. — (Высшее образование). — </w:t>
            </w:r>
            <w:r w:rsidRPr="00E37878">
              <w:rPr>
                <w:rFonts w:ascii="Times New Roman" w:hAnsi="Times New Roman" w:cs="Times New Roman"/>
                <w:lang w:val="en-US"/>
              </w:rPr>
              <w:t>ISBN</w:t>
            </w:r>
            <w:r w:rsidRPr="00E37878">
              <w:rPr>
                <w:rFonts w:ascii="Times New Roman" w:hAnsi="Times New Roman" w:cs="Times New Roman"/>
              </w:rPr>
              <w:t xml:space="preserve"> 978-5-534-12206-0. — Текст</w:t>
            </w:r>
            <w:proofErr w:type="gramStart"/>
            <w:r w:rsidRPr="00E378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7878" w:rsidRDefault="009F43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E3787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https://urait.ru/viewer/upravlenie-riskami-560651#page/1</w:t>
              </w:r>
            </w:hyperlink>
          </w:p>
        </w:tc>
      </w:tr>
      <w:tr w:rsidR="00262CF0" w:rsidRPr="00E37878" w14:paraId="54BC07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060D3" w14:textId="77777777" w:rsidR="00262CF0" w:rsidRPr="00E378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</w:rPr>
              <w:t>Богоявленский С.Б., Стоноженко И.В. Типовые задачи принятия решений в условиях неопределенности и риска: Учебное пособие. - СПб.: Изд-во СПбГЭУ, 2016. - 79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6F6D2C" w14:textId="77777777" w:rsidR="00262CF0" w:rsidRPr="00E37878" w:rsidRDefault="009F43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3787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E37878" w14:paraId="2EFE71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8237A0" w14:textId="77777777" w:rsidR="00262CF0" w:rsidRPr="00E378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</w:rPr>
              <w:t>Вяткин, В. Н.  Риск-менеджмент</w:t>
            </w:r>
            <w:proofErr w:type="gramStart"/>
            <w:r w:rsidRPr="00E378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 учебник / В. Н. Вяткин, В. А. Гамза, Ф. В. Маевский. — 2-е изд., </w:t>
            </w:r>
            <w:proofErr w:type="spellStart"/>
            <w:r w:rsidRPr="00E3787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, 2025. — 365 с. — (Высшее образование). — </w:t>
            </w:r>
            <w:r w:rsidRPr="00E37878">
              <w:rPr>
                <w:rFonts w:ascii="Times New Roman" w:hAnsi="Times New Roman" w:cs="Times New Roman"/>
                <w:lang w:val="en-US"/>
              </w:rPr>
              <w:t>ISBN</w:t>
            </w:r>
            <w:r w:rsidRPr="00E37878">
              <w:rPr>
                <w:rFonts w:ascii="Times New Roman" w:hAnsi="Times New Roman" w:cs="Times New Roman"/>
              </w:rPr>
              <w:t xml:space="preserve"> 978-5-9916-3502-8. — Текст</w:t>
            </w:r>
            <w:proofErr w:type="gramStart"/>
            <w:r w:rsidRPr="00E3787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CDE06" w14:textId="77777777" w:rsidR="00262CF0" w:rsidRPr="00E37878" w:rsidRDefault="009F43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anchor="page/1" w:history="1">
              <w:r w:rsidR="00984247" w:rsidRPr="00E3787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https://urait.ru/viewer/risk-menedzhment-560309#page/1</w:t>
              </w:r>
            </w:hyperlink>
          </w:p>
        </w:tc>
      </w:tr>
      <w:tr w:rsidR="00262CF0" w:rsidRPr="00E37878" w14:paraId="4847C0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518BD4" w14:textId="77777777" w:rsidR="00262CF0" w:rsidRPr="00E378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878">
              <w:rPr>
                <w:rFonts w:ascii="Times New Roman" w:hAnsi="Times New Roman" w:cs="Times New Roman"/>
              </w:rPr>
              <w:t xml:space="preserve">Богоявленский, Сергей </w:t>
            </w:r>
            <w:proofErr w:type="spellStart"/>
            <w:r w:rsidRPr="00E37878">
              <w:rPr>
                <w:rFonts w:ascii="Times New Roman" w:hAnsi="Times New Roman" w:cs="Times New Roman"/>
              </w:rPr>
              <w:t>БорисовичОценка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 рисков : учебное пособие /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7878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E37878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37878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37878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37878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экон</w:t>
            </w:r>
            <w:proofErr w:type="spellEnd"/>
            <w:r w:rsidRPr="00E37878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E37878">
              <w:rPr>
                <w:rFonts w:ascii="Times New Roman" w:hAnsi="Times New Roman" w:cs="Times New Roman"/>
              </w:rPr>
              <w:t>.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37878">
              <w:rPr>
                <w:rFonts w:ascii="Times New Roman" w:hAnsi="Times New Roman" w:cs="Times New Roman"/>
              </w:rPr>
              <w:t>б</w:t>
            </w:r>
            <w:proofErr w:type="gramEnd"/>
            <w:r w:rsidRPr="00E37878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E37878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E37878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6E372E" w14:textId="77777777" w:rsidR="00262CF0" w:rsidRPr="00E37878" w:rsidRDefault="009F43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3787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30374E" w14:textId="77777777" w:rsidTr="007B550D">
        <w:tc>
          <w:tcPr>
            <w:tcW w:w="9345" w:type="dxa"/>
          </w:tcPr>
          <w:p w14:paraId="03B45B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B99A80" w14:textId="77777777" w:rsidTr="007B550D">
        <w:tc>
          <w:tcPr>
            <w:tcW w:w="9345" w:type="dxa"/>
          </w:tcPr>
          <w:p w14:paraId="09C676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764588" w14:textId="77777777" w:rsidTr="007B550D">
        <w:tc>
          <w:tcPr>
            <w:tcW w:w="9345" w:type="dxa"/>
          </w:tcPr>
          <w:p w14:paraId="7468D9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D9AF0A" w14:textId="77777777" w:rsidTr="007B550D">
        <w:tc>
          <w:tcPr>
            <w:tcW w:w="9345" w:type="dxa"/>
          </w:tcPr>
          <w:p w14:paraId="555667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43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7878" w:rsidRDefault="002C735C" w:rsidP="00E3787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78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7878" w:rsidRDefault="002C735C" w:rsidP="00E3787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78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A684E26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Ауд. 2022 Лаборатория "Лабораторный комплекс"</w:t>
            </w:r>
            <w:r w:rsid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E37878">
              <w:rPr>
                <w:sz w:val="22"/>
                <w:szCs w:val="22"/>
              </w:rPr>
              <w:t>кресела</w:t>
            </w:r>
            <w:proofErr w:type="spellEnd"/>
            <w:r w:rsidRPr="00E37878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E37878">
              <w:rPr>
                <w:sz w:val="22"/>
                <w:szCs w:val="22"/>
                <w:lang w:val="en-US"/>
              </w:rPr>
              <w:t>Intel</w:t>
            </w:r>
            <w:r w:rsidRPr="00E37878">
              <w:rPr>
                <w:sz w:val="22"/>
                <w:szCs w:val="22"/>
              </w:rPr>
              <w:t xml:space="preserve">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7878">
              <w:rPr>
                <w:sz w:val="22"/>
                <w:szCs w:val="22"/>
              </w:rPr>
              <w:t xml:space="preserve">5 4460/1Тб/8Гб/монитор </w:t>
            </w:r>
            <w:r w:rsidRPr="00E37878">
              <w:rPr>
                <w:sz w:val="22"/>
                <w:szCs w:val="22"/>
                <w:lang w:val="en-US"/>
              </w:rPr>
              <w:t>Samsung</w:t>
            </w:r>
            <w:r w:rsidRPr="00E37878">
              <w:rPr>
                <w:sz w:val="22"/>
                <w:szCs w:val="22"/>
              </w:rPr>
              <w:t xml:space="preserve"> 23" - 1 шт., Компьютер </w:t>
            </w:r>
            <w:r w:rsidRPr="00E37878">
              <w:rPr>
                <w:sz w:val="22"/>
                <w:szCs w:val="22"/>
                <w:lang w:val="en-US"/>
              </w:rPr>
              <w:t>Intel</w:t>
            </w:r>
            <w:r w:rsidRPr="00E37878">
              <w:rPr>
                <w:sz w:val="22"/>
                <w:szCs w:val="22"/>
              </w:rPr>
              <w:t xml:space="preserve">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7878">
              <w:rPr>
                <w:sz w:val="22"/>
                <w:szCs w:val="22"/>
              </w:rPr>
              <w:t xml:space="preserve">5 4460/1Тб/8Гб/ монитор </w:t>
            </w:r>
            <w:r w:rsidRPr="00E37878">
              <w:rPr>
                <w:sz w:val="22"/>
                <w:szCs w:val="22"/>
                <w:lang w:val="en-US"/>
              </w:rPr>
              <w:t>Samsung</w:t>
            </w:r>
            <w:r w:rsidRPr="00E3787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E5D8EDE" w14:textId="77777777" w:rsidTr="008416EB">
        <w:tc>
          <w:tcPr>
            <w:tcW w:w="7797" w:type="dxa"/>
            <w:shd w:val="clear" w:color="auto" w:fill="auto"/>
          </w:tcPr>
          <w:p w14:paraId="301D04FA" w14:textId="6E8AF14D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37878">
              <w:rPr>
                <w:sz w:val="22"/>
                <w:szCs w:val="22"/>
                <w:lang w:val="en-US"/>
              </w:rPr>
              <w:t>HP</w:t>
            </w:r>
            <w:r w:rsidRPr="00E37878">
              <w:rPr>
                <w:sz w:val="22"/>
                <w:szCs w:val="22"/>
              </w:rPr>
              <w:t xml:space="preserve"> 250 </w:t>
            </w:r>
            <w:r w:rsidRPr="00E37878">
              <w:rPr>
                <w:sz w:val="22"/>
                <w:szCs w:val="22"/>
                <w:lang w:val="en-US"/>
              </w:rPr>
              <w:t>G</w:t>
            </w:r>
            <w:r w:rsidRPr="00E37878">
              <w:rPr>
                <w:sz w:val="22"/>
                <w:szCs w:val="22"/>
              </w:rPr>
              <w:t>6 1</w:t>
            </w:r>
            <w:r w:rsidRPr="00E37878">
              <w:rPr>
                <w:sz w:val="22"/>
                <w:szCs w:val="22"/>
                <w:lang w:val="en-US"/>
              </w:rPr>
              <w:t>WY</w:t>
            </w:r>
            <w:r w:rsidRPr="00E37878">
              <w:rPr>
                <w:sz w:val="22"/>
                <w:szCs w:val="22"/>
              </w:rPr>
              <w:t>58</w:t>
            </w:r>
            <w:r w:rsidRPr="00E37878">
              <w:rPr>
                <w:sz w:val="22"/>
                <w:szCs w:val="22"/>
                <w:lang w:val="en-US"/>
              </w:rPr>
              <w:t>EA</w:t>
            </w:r>
            <w:r w:rsidRPr="00E37878">
              <w:rPr>
                <w:sz w:val="22"/>
                <w:szCs w:val="22"/>
              </w:rPr>
              <w:t xml:space="preserve">, Мультимедийный проектор </w:t>
            </w:r>
            <w:r w:rsidRPr="00E37878">
              <w:rPr>
                <w:sz w:val="22"/>
                <w:szCs w:val="22"/>
                <w:lang w:val="en-US"/>
              </w:rPr>
              <w:t>LG</w:t>
            </w:r>
            <w:r w:rsidRP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  <w:lang w:val="en-US"/>
              </w:rPr>
              <w:t>PF</w:t>
            </w:r>
            <w:r w:rsidRPr="00E37878">
              <w:rPr>
                <w:sz w:val="22"/>
                <w:szCs w:val="22"/>
              </w:rPr>
              <w:t>1500</w:t>
            </w:r>
            <w:r w:rsidRPr="00E37878">
              <w:rPr>
                <w:sz w:val="22"/>
                <w:szCs w:val="22"/>
                <w:lang w:val="en-US"/>
              </w:rPr>
              <w:t>G</w:t>
            </w:r>
            <w:r w:rsidRPr="00E378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4A57D" w14:textId="77777777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0EAE22C" w14:textId="77777777" w:rsidTr="008416EB">
        <w:tc>
          <w:tcPr>
            <w:tcW w:w="7797" w:type="dxa"/>
            <w:shd w:val="clear" w:color="auto" w:fill="auto"/>
          </w:tcPr>
          <w:p w14:paraId="063EA80E" w14:textId="63580D95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E37878">
              <w:rPr>
                <w:sz w:val="22"/>
                <w:szCs w:val="22"/>
                <w:lang w:val="en-US"/>
              </w:rPr>
              <w:t>Intel</w:t>
            </w:r>
            <w:r w:rsidRPr="00E37878">
              <w:rPr>
                <w:sz w:val="22"/>
                <w:szCs w:val="22"/>
              </w:rPr>
              <w:t xml:space="preserve">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7878">
              <w:rPr>
                <w:sz w:val="22"/>
                <w:szCs w:val="22"/>
              </w:rPr>
              <w:t xml:space="preserve">3-2100 2.4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7878">
              <w:rPr>
                <w:sz w:val="22"/>
                <w:szCs w:val="22"/>
              </w:rPr>
              <w:t>/500/4/</w:t>
            </w:r>
            <w:r w:rsidRPr="00E37878">
              <w:rPr>
                <w:sz w:val="22"/>
                <w:szCs w:val="22"/>
                <w:lang w:val="en-US"/>
              </w:rPr>
              <w:t>Acer</w:t>
            </w:r>
            <w:r w:rsidRP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  <w:lang w:val="en-US"/>
              </w:rPr>
              <w:t>V</w:t>
            </w:r>
            <w:r w:rsidRPr="00E37878">
              <w:rPr>
                <w:sz w:val="22"/>
                <w:szCs w:val="22"/>
              </w:rPr>
              <w:t xml:space="preserve">193 19" - 1 шт., Проектор </w:t>
            </w:r>
            <w:r w:rsidRPr="00E37878">
              <w:rPr>
                <w:sz w:val="22"/>
                <w:szCs w:val="22"/>
                <w:lang w:val="en-US"/>
              </w:rPr>
              <w:t>Epson</w:t>
            </w:r>
            <w:r w:rsidRP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  <w:lang w:val="en-US"/>
              </w:rPr>
              <w:t>EB</w:t>
            </w:r>
            <w:r w:rsidRPr="00E37878">
              <w:rPr>
                <w:sz w:val="22"/>
                <w:szCs w:val="22"/>
              </w:rPr>
              <w:t xml:space="preserve"> 410</w:t>
            </w:r>
            <w:r w:rsidRPr="00E37878">
              <w:rPr>
                <w:sz w:val="22"/>
                <w:szCs w:val="22"/>
                <w:lang w:val="en-US"/>
              </w:rPr>
              <w:t>W</w:t>
            </w:r>
            <w:r w:rsidRPr="00E3787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E37878">
              <w:rPr>
                <w:sz w:val="22"/>
                <w:szCs w:val="22"/>
              </w:rPr>
              <w:t xml:space="preserve"> </w:t>
            </w:r>
            <w:proofErr w:type="spellStart"/>
            <w:r w:rsidRPr="00E3787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E3787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E37878">
              <w:rPr>
                <w:sz w:val="22"/>
                <w:szCs w:val="22"/>
                <w:lang w:val="en-US"/>
              </w:rPr>
              <w:t>Wi</w:t>
            </w:r>
            <w:r w:rsidRPr="00E37878">
              <w:rPr>
                <w:sz w:val="22"/>
                <w:szCs w:val="22"/>
              </w:rPr>
              <w:t>-</w:t>
            </w:r>
            <w:r w:rsidRPr="00E37878">
              <w:rPr>
                <w:sz w:val="22"/>
                <w:szCs w:val="22"/>
                <w:lang w:val="en-US"/>
              </w:rPr>
              <w:t>Fi</w:t>
            </w:r>
            <w:r w:rsidRPr="00E37878">
              <w:rPr>
                <w:sz w:val="22"/>
                <w:szCs w:val="22"/>
              </w:rPr>
              <w:t xml:space="preserve"> Тип 2 </w:t>
            </w:r>
            <w:r w:rsidRPr="00E37878">
              <w:rPr>
                <w:sz w:val="22"/>
                <w:szCs w:val="22"/>
                <w:lang w:val="en-US"/>
              </w:rPr>
              <w:t>UBIQUITI</w:t>
            </w:r>
            <w:r w:rsidRPr="00E37878">
              <w:rPr>
                <w:sz w:val="22"/>
                <w:szCs w:val="22"/>
              </w:rPr>
              <w:t xml:space="preserve"> </w:t>
            </w:r>
            <w:r w:rsidRPr="00E37878">
              <w:rPr>
                <w:sz w:val="22"/>
                <w:szCs w:val="22"/>
                <w:lang w:val="en-US"/>
              </w:rPr>
              <w:t>UAP</w:t>
            </w:r>
            <w:r w:rsidRPr="00E37878">
              <w:rPr>
                <w:sz w:val="22"/>
                <w:szCs w:val="22"/>
              </w:rPr>
              <w:t>-</w:t>
            </w:r>
            <w:r w:rsidRPr="00E37878">
              <w:rPr>
                <w:sz w:val="22"/>
                <w:szCs w:val="22"/>
                <w:lang w:val="en-US"/>
              </w:rPr>
              <w:t>AC</w:t>
            </w:r>
            <w:r w:rsidRPr="00E37878">
              <w:rPr>
                <w:sz w:val="22"/>
                <w:szCs w:val="22"/>
              </w:rPr>
              <w:t>-</w:t>
            </w:r>
            <w:r w:rsidRPr="00E37878">
              <w:rPr>
                <w:sz w:val="22"/>
                <w:szCs w:val="22"/>
                <w:lang w:val="en-US"/>
              </w:rPr>
              <w:t>HD</w:t>
            </w:r>
            <w:r w:rsidRPr="00E3787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1C68D" w14:textId="77777777" w:rsidR="002C735C" w:rsidRPr="00E37878" w:rsidRDefault="00B43524" w:rsidP="00E378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8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Понятие и структура риска. Цели классификации рисков. Бизнес-классификация рисков: стратегические, операционные, финансовые риски, естественные опасности.</w:t>
            </w:r>
          </w:p>
        </w:tc>
      </w:tr>
      <w:tr w:rsidR="009E6058" w14:paraId="299B7656" w14:textId="77777777" w:rsidTr="00F00293">
        <w:tc>
          <w:tcPr>
            <w:tcW w:w="562" w:type="dxa"/>
          </w:tcPr>
          <w:p w14:paraId="6DF368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F84C7F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Теоретические основы управления рисками. Ситуации принятия решения и их моделирование.</w:t>
            </w:r>
          </w:p>
        </w:tc>
      </w:tr>
      <w:tr w:rsidR="009E6058" w14:paraId="5D480CCD" w14:textId="77777777" w:rsidTr="00F00293">
        <w:tc>
          <w:tcPr>
            <w:tcW w:w="562" w:type="dxa"/>
          </w:tcPr>
          <w:p w14:paraId="4C177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63D751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Понятие риск-менеджмента и системы управления рисками (СУР). Эволюция подходов к управлению рисками по стадиям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E37878">
              <w:rPr>
                <w:sz w:val="23"/>
                <w:szCs w:val="23"/>
              </w:rPr>
              <w:t>;жизненного цикла&amp;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E37878">
              <w:rPr>
                <w:sz w:val="23"/>
                <w:szCs w:val="23"/>
              </w:rPr>
              <w:t>; организации.</w:t>
            </w:r>
          </w:p>
        </w:tc>
      </w:tr>
      <w:tr w:rsidR="009E6058" w14:paraId="32FAE5E8" w14:textId="77777777" w:rsidTr="00F00293">
        <w:tc>
          <w:tcPr>
            <w:tcW w:w="562" w:type="dxa"/>
          </w:tcPr>
          <w:p w14:paraId="301FE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40084FE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Особенности управления рисками энергетических компаний.</w:t>
            </w:r>
          </w:p>
        </w:tc>
      </w:tr>
      <w:tr w:rsidR="009E6058" w14:paraId="1781CF42" w14:textId="77777777" w:rsidTr="00F00293">
        <w:tc>
          <w:tcPr>
            <w:tcW w:w="562" w:type="dxa"/>
          </w:tcPr>
          <w:p w14:paraId="5E52C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065F46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Цели и задачи системы управления рисками. Требования к системе управления рисками.</w:t>
            </w:r>
          </w:p>
        </w:tc>
      </w:tr>
      <w:tr w:rsidR="009E6058" w14:paraId="7C495923" w14:textId="77777777" w:rsidTr="00F00293">
        <w:tc>
          <w:tcPr>
            <w:tcW w:w="562" w:type="dxa"/>
          </w:tcPr>
          <w:p w14:paraId="69F8C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FA1020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Политика управления рисками организации: цели, структура, применение.</w:t>
            </w:r>
          </w:p>
        </w:tc>
      </w:tr>
      <w:tr w:rsidR="009E6058" w14:paraId="2DC81248" w14:textId="77777777" w:rsidTr="00F00293">
        <w:tc>
          <w:tcPr>
            <w:tcW w:w="562" w:type="dxa"/>
          </w:tcPr>
          <w:p w14:paraId="24ED98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0B47A3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Стандарты управления рисками. Наиболее распространенные стандарты, их особенности и области применения.</w:t>
            </w:r>
          </w:p>
        </w:tc>
      </w:tr>
      <w:tr w:rsidR="009E6058" w14:paraId="1C9F767C" w14:textId="77777777" w:rsidTr="00F00293">
        <w:tc>
          <w:tcPr>
            <w:tcW w:w="562" w:type="dxa"/>
          </w:tcPr>
          <w:p w14:paraId="6F7214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844D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878">
              <w:rPr>
                <w:sz w:val="23"/>
                <w:szCs w:val="23"/>
              </w:rPr>
              <w:t xml:space="preserve">Общая логика построения СУР. Основные этапы управления рисками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рисками организации по стандарту ГОСТ/ИСО 31000.</w:t>
            </w:r>
          </w:p>
        </w:tc>
      </w:tr>
      <w:tr w:rsidR="009E6058" w14:paraId="2D8C6C14" w14:textId="77777777" w:rsidTr="00F00293">
        <w:tc>
          <w:tcPr>
            <w:tcW w:w="562" w:type="dxa"/>
          </w:tcPr>
          <w:p w14:paraId="2C913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8DBCAF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Понятие оценки риска, основные компоненты: идентификация, измерение, сравнение с нормативами.</w:t>
            </w:r>
          </w:p>
        </w:tc>
      </w:tr>
      <w:tr w:rsidR="009E6058" w14:paraId="2E34DB17" w14:textId="77777777" w:rsidTr="00F00293">
        <w:tc>
          <w:tcPr>
            <w:tcW w:w="562" w:type="dxa"/>
          </w:tcPr>
          <w:p w14:paraId="7F1B01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0EA09F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Методы количественной оценки рисков: статистические, вероятностно-статистические, теоретико-вероятностные и экспертные методы, их особенности и область применения.</w:t>
            </w:r>
          </w:p>
        </w:tc>
      </w:tr>
      <w:tr w:rsidR="009E6058" w14:paraId="7D6BF41A" w14:textId="77777777" w:rsidTr="00F00293">
        <w:tc>
          <w:tcPr>
            <w:tcW w:w="562" w:type="dxa"/>
          </w:tcPr>
          <w:p w14:paraId="3CC5C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7D21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Количественные меры (метрики) риска.</w:t>
            </w:r>
          </w:p>
        </w:tc>
      </w:tr>
      <w:tr w:rsidR="009E6058" w14:paraId="29A437F6" w14:textId="77777777" w:rsidTr="00F00293">
        <w:tc>
          <w:tcPr>
            <w:tcW w:w="562" w:type="dxa"/>
          </w:tcPr>
          <w:p w14:paraId="31808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CE6FD0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Процедура экспертной оценки риска: организация и особенности.</w:t>
            </w:r>
          </w:p>
        </w:tc>
      </w:tr>
      <w:tr w:rsidR="009E6058" w14:paraId="2844C5D1" w14:textId="77777777" w:rsidTr="00F00293">
        <w:tc>
          <w:tcPr>
            <w:tcW w:w="562" w:type="dxa"/>
          </w:tcPr>
          <w:p w14:paraId="1C039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E1E616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Паспорт риска и реестр рисков: понятие, структура, использование.</w:t>
            </w:r>
          </w:p>
        </w:tc>
      </w:tr>
      <w:tr w:rsidR="009E6058" w14:paraId="181D5780" w14:textId="77777777" w:rsidTr="00F00293">
        <w:tc>
          <w:tcPr>
            <w:tcW w:w="562" w:type="dxa"/>
          </w:tcPr>
          <w:p w14:paraId="7165A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7845DF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Карта (матрица) рисков: понятие, основные элементы, использование.</w:t>
            </w:r>
          </w:p>
        </w:tc>
      </w:tr>
      <w:tr w:rsidR="009E6058" w14:paraId="7D0F1D51" w14:textId="77777777" w:rsidTr="00F00293">
        <w:tc>
          <w:tcPr>
            <w:tcW w:w="562" w:type="dxa"/>
          </w:tcPr>
          <w:p w14:paraId="38B29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F200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878">
              <w:rPr>
                <w:sz w:val="23"/>
                <w:szCs w:val="23"/>
              </w:rPr>
              <w:t xml:space="preserve">Классификация методов воздействия на риски. Регулирование риска и финансирование риска.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7EEDCE" w14:textId="77777777" w:rsidTr="00F00293">
        <w:tc>
          <w:tcPr>
            <w:tcW w:w="562" w:type="dxa"/>
          </w:tcPr>
          <w:p w14:paraId="47E49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8647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878">
              <w:rPr>
                <w:sz w:val="23"/>
                <w:szCs w:val="23"/>
              </w:rPr>
              <w:t xml:space="preserve">Методы регулирования риска, их особенности, достоинства и недостатки.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CD19F4" w14:textId="77777777" w:rsidTr="00F00293">
        <w:tc>
          <w:tcPr>
            <w:tcW w:w="562" w:type="dxa"/>
          </w:tcPr>
          <w:p w14:paraId="1A75C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FFC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878">
              <w:rPr>
                <w:sz w:val="23"/>
                <w:szCs w:val="23"/>
              </w:rPr>
              <w:t xml:space="preserve">Методы передачи риска в целях регулирования и в целях финансирования.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B21EA2" w14:textId="77777777" w:rsidTr="00F00293">
        <w:tc>
          <w:tcPr>
            <w:tcW w:w="562" w:type="dxa"/>
          </w:tcPr>
          <w:p w14:paraId="0F695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76D06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878">
              <w:rPr>
                <w:sz w:val="23"/>
                <w:szCs w:val="23"/>
              </w:rPr>
              <w:t xml:space="preserve">Методы финансирования риска, их особенности, достоинства и недостатки.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549DCF" w14:textId="77777777" w:rsidTr="00F00293">
        <w:tc>
          <w:tcPr>
            <w:tcW w:w="562" w:type="dxa"/>
          </w:tcPr>
          <w:p w14:paraId="284DF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07E121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Элементы организации СУР: организационная структура, стратегия, документация.</w:t>
            </w:r>
          </w:p>
        </w:tc>
      </w:tr>
      <w:tr w:rsidR="009E6058" w14:paraId="13ED4085" w14:textId="77777777" w:rsidTr="00F00293">
        <w:tc>
          <w:tcPr>
            <w:tcW w:w="562" w:type="dxa"/>
          </w:tcPr>
          <w:p w14:paraId="3036D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6850B6" w14:textId="77777777" w:rsidR="009E6058" w:rsidRPr="00E3787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Оценка эффективности работы СУР предприятия. Внутренние стандарты оценки эффективности СУР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78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8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7878" w14:paraId="5A1C9382" w14:textId="77777777" w:rsidTr="00801458">
        <w:tc>
          <w:tcPr>
            <w:tcW w:w="2336" w:type="dxa"/>
          </w:tcPr>
          <w:p w14:paraId="4C518DAB" w14:textId="77777777" w:rsidR="005D65A5" w:rsidRPr="00E378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78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78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78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7878" w14:paraId="07658034" w14:textId="77777777" w:rsidTr="00801458">
        <w:tc>
          <w:tcPr>
            <w:tcW w:w="2336" w:type="dxa"/>
          </w:tcPr>
          <w:p w14:paraId="1553D698" w14:textId="78F29BFB" w:rsidR="005D65A5" w:rsidRPr="00E378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37878" w14:paraId="4CF70925" w14:textId="77777777" w:rsidTr="00801458">
        <w:tc>
          <w:tcPr>
            <w:tcW w:w="2336" w:type="dxa"/>
          </w:tcPr>
          <w:p w14:paraId="0FD0DF19" w14:textId="77777777" w:rsidR="005D65A5" w:rsidRPr="00E378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0B7F13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316D032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3DF543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37878" w14:paraId="27DE330E" w14:textId="77777777" w:rsidTr="00801458">
        <w:tc>
          <w:tcPr>
            <w:tcW w:w="2336" w:type="dxa"/>
          </w:tcPr>
          <w:p w14:paraId="3C26A962" w14:textId="77777777" w:rsidR="005D65A5" w:rsidRPr="00E378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3CDF62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5270B7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BB0C93" w14:textId="77777777" w:rsidR="005D65A5" w:rsidRPr="00E37878" w:rsidRDefault="007478E0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40DFBA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7878" w14:paraId="625CAEB0" w14:textId="77777777" w:rsidTr="00E37878">
        <w:tc>
          <w:tcPr>
            <w:tcW w:w="562" w:type="dxa"/>
          </w:tcPr>
          <w:p w14:paraId="27306441" w14:textId="77777777" w:rsidR="00E37878" w:rsidRDefault="00E378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82C8C4" w14:textId="77777777" w:rsidR="00E37878" w:rsidRDefault="00E378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7878" w14:paraId="0267C479" w14:textId="77777777" w:rsidTr="00801458">
        <w:tc>
          <w:tcPr>
            <w:tcW w:w="2500" w:type="pct"/>
          </w:tcPr>
          <w:p w14:paraId="37F699C9" w14:textId="77777777" w:rsidR="00B8237E" w:rsidRPr="00E378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78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8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7878" w14:paraId="3F240151" w14:textId="77777777" w:rsidTr="00801458">
        <w:tc>
          <w:tcPr>
            <w:tcW w:w="2500" w:type="pct"/>
          </w:tcPr>
          <w:p w14:paraId="61E91592" w14:textId="61A0874C" w:rsidR="00B8237E" w:rsidRPr="00E37878" w:rsidRDefault="00B8237E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37878" w:rsidRDefault="005C548A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37878" w14:paraId="5EEC423C" w14:textId="77777777" w:rsidTr="00801458">
        <w:tc>
          <w:tcPr>
            <w:tcW w:w="2500" w:type="pct"/>
          </w:tcPr>
          <w:p w14:paraId="125956C9" w14:textId="77777777" w:rsidR="00B8237E" w:rsidRPr="00E378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63276D" w14:textId="77777777" w:rsidR="00B8237E" w:rsidRPr="00E37878" w:rsidRDefault="005C548A" w:rsidP="00801458">
            <w:pPr>
              <w:rPr>
                <w:rFonts w:ascii="Times New Roman" w:hAnsi="Times New Roman" w:cs="Times New Roman"/>
              </w:rPr>
            </w:pPr>
            <w:r w:rsidRPr="00E3787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3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9A26B" w14:textId="77777777" w:rsidR="009F432B" w:rsidRDefault="009F432B" w:rsidP="00315CA6">
      <w:pPr>
        <w:spacing w:after="0" w:line="240" w:lineRule="auto"/>
      </w:pPr>
      <w:r>
        <w:separator/>
      </w:r>
    </w:p>
  </w:endnote>
  <w:endnote w:type="continuationSeparator" w:id="0">
    <w:p w14:paraId="75F15207" w14:textId="77777777" w:rsidR="009F432B" w:rsidRDefault="009F43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C4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5859E" w14:textId="77777777" w:rsidR="009F432B" w:rsidRDefault="009F432B" w:rsidP="00315CA6">
      <w:pPr>
        <w:spacing w:after="0" w:line="240" w:lineRule="auto"/>
      </w:pPr>
      <w:r>
        <w:separator/>
      </w:r>
    </w:p>
  </w:footnote>
  <w:footnote w:type="continuationSeparator" w:id="0">
    <w:p w14:paraId="2F72A8DD" w14:textId="77777777" w:rsidR="009F432B" w:rsidRDefault="009F43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BA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32B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878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C4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riskami-56065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1%86%D0%B5%D0%BD%D0%BA%D0%B0%20%D1%80%D0%B8%D1%81%D0%BA%D0%BE%D0%B2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risk-menedzhment-5603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03E6F-787D-4CC6-BAD2-19E35979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